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C407" w14:textId="77777777" w:rsidR="00811DFE" w:rsidRDefault="00811DFE" w:rsidP="00D11718">
      <w:pPr>
        <w:contextualSpacing/>
      </w:pPr>
    </w:p>
    <w:p w14:paraId="0DD21364" w14:textId="7FE5B609" w:rsidR="00D11718" w:rsidRPr="00D11718" w:rsidRDefault="00D11718" w:rsidP="00D11718">
      <w:pPr>
        <w:pStyle w:val="Heading1"/>
        <w:contextualSpacing/>
        <w:rPr>
          <w:color w:val="000000" w:themeColor="text1"/>
          <w:sz w:val="36"/>
          <w:szCs w:val="36"/>
        </w:rPr>
      </w:pPr>
      <w:r w:rsidRPr="00D11718">
        <w:rPr>
          <w:color w:val="000000" w:themeColor="text1"/>
          <w:sz w:val="36"/>
          <w:szCs w:val="36"/>
        </w:rPr>
        <w:t xml:space="preserve">WCAG 2.1 Accessibility </w:t>
      </w:r>
      <w:r>
        <w:rPr>
          <w:color w:val="000000" w:themeColor="text1"/>
          <w:sz w:val="36"/>
          <w:szCs w:val="36"/>
        </w:rPr>
        <w:t xml:space="preserve">Standards </w:t>
      </w:r>
      <w:r w:rsidRPr="00D11718">
        <w:rPr>
          <w:color w:val="000000" w:themeColor="text1"/>
          <w:sz w:val="36"/>
          <w:szCs w:val="36"/>
        </w:rPr>
        <w:t xml:space="preserve">for Canvas </w:t>
      </w:r>
      <w:r>
        <w:rPr>
          <w:color w:val="000000" w:themeColor="text1"/>
          <w:sz w:val="36"/>
          <w:szCs w:val="36"/>
        </w:rPr>
        <w:t>Courses</w:t>
      </w:r>
    </w:p>
    <w:p w14:paraId="4F3EA6EA" w14:textId="77777777" w:rsidR="00D11718" w:rsidRPr="00D11718" w:rsidRDefault="00D11718" w:rsidP="00D11718">
      <w:pPr>
        <w:contextualSpacing/>
        <w:rPr>
          <w:b/>
          <w:bCs/>
        </w:rPr>
      </w:pPr>
      <w:r w:rsidRPr="00D11718">
        <w:rPr>
          <w:b/>
          <w:bCs/>
        </w:rPr>
        <w:t>Purpose</w:t>
      </w:r>
    </w:p>
    <w:p w14:paraId="319632B4" w14:textId="77777777" w:rsidR="00D11718" w:rsidRPr="00D11718" w:rsidRDefault="00D11718" w:rsidP="00D11718">
      <w:pPr>
        <w:contextualSpacing/>
      </w:pPr>
      <w:r w:rsidRPr="00D11718">
        <w:t xml:space="preserve">This guide helps </w:t>
      </w:r>
      <w:proofErr w:type="gramStart"/>
      <w:r w:rsidRPr="00D11718">
        <w:t>APU</w:t>
      </w:r>
      <w:proofErr w:type="gramEnd"/>
      <w:r w:rsidRPr="00D11718">
        <w:t xml:space="preserve"> faculty and instructional designers (IDs) apply WCAG 2.1 Level AA standards to online courses in Canvas LMS, ensuring ADA compliance. It provides practical steps to make course content perceivable, operable, understandable, and robust for all students, including those with disabilities.</w:t>
      </w:r>
    </w:p>
    <w:p w14:paraId="6A23F91B" w14:textId="77777777" w:rsidR="00D11718" w:rsidRPr="00D11718" w:rsidRDefault="00D11718" w:rsidP="00D11718">
      <w:pPr>
        <w:contextualSpacing/>
        <w:rPr>
          <w:b/>
          <w:bCs/>
        </w:rPr>
      </w:pPr>
      <w:r w:rsidRPr="00D11718">
        <w:rPr>
          <w:b/>
          <w:bCs/>
        </w:rPr>
        <w:t>Scope</w:t>
      </w:r>
    </w:p>
    <w:p w14:paraId="01187939" w14:textId="57FFDE24" w:rsidR="00D11718" w:rsidRPr="00D11718" w:rsidRDefault="00D11718" w:rsidP="00D11718">
      <w:pPr>
        <w:numPr>
          <w:ilvl w:val="0"/>
          <w:numId w:val="10"/>
        </w:numPr>
        <w:contextualSpacing/>
      </w:pPr>
      <w:r w:rsidRPr="00D11718">
        <w:t>Online and face-to-face (F2F) courses using Canvas LMS for pages, discussions, quizzes, assignments, and syllabi/Syllabus Hub sites.</w:t>
      </w:r>
    </w:p>
    <w:p w14:paraId="13C77B8F" w14:textId="74902FAE" w:rsidR="00D11718" w:rsidRPr="00D11718" w:rsidRDefault="00D11718" w:rsidP="00D11718">
      <w:pPr>
        <w:numPr>
          <w:ilvl w:val="0"/>
          <w:numId w:val="10"/>
        </w:numPr>
        <w:contextualSpacing/>
      </w:pPr>
      <w:r>
        <w:t xml:space="preserve">Create an </w:t>
      </w:r>
      <w:r w:rsidRPr="00D11718">
        <w:t xml:space="preserve">approved </w:t>
      </w:r>
      <w:r>
        <w:t xml:space="preserve">Dev Master </w:t>
      </w:r>
      <w:r w:rsidRPr="00D11718">
        <w:t>template</w:t>
      </w:r>
      <w:r>
        <w:t>(s)</w:t>
      </w:r>
      <w:r w:rsidRPr="00D11718">
        <w:t xml:space="preserve"> to </w:t>
      </w:r>
      <w:r>
        <w:t>start with a base for</w:t>
      </w:r>
      <w:r w:rsidRPr="00D11718">
        <w:t xml:space="preserve"> accessibility.</w:t>
      </w:r>
    </w:p>
    <w:p w14:paraId="1B7F94E3" w14:textId="139E6651" w:rsidR="00D11718" w:rsidRDefault="00D11718" w:rsidP="00D11718">
      <w:pPr>
        <w:pStyle w:val="Heading2"/>
        <w:contextualSpacing/>
      </w:pPr>
      <w:r w:rsidRPr="00D11718">
        <w:t>WCAG 2.1 Principles and Canvas Application</w:t>
      </w:r>
    </w:p>
    <w:p w14:paraId="4DA106E9" w14:textId="32FBF38F" w:rsidR="00D11718" w:rsidRPr="00D11718" w:rsidRDefault="00D11718" w:rsidP="00D11718">
      <w:r>
        <w:t xml:space="preserve">The following breaks down specific requirements for accessibility based on: </w:t>
      </w:r>
      <w:hyperlink r:id="rId5" w:history="1">
        <w:r w:rsidRPr="00D11718">
          <w:rPr>
            <w:rStyle w:val="Hyperlink"/>
          </w:rPr>
          <w:t xml:space="preserve"> W3C WCAG 2.1 Quick Reference</w:t>
        </w:r>
      </w:hyperlink>
      <w:r>
        <w:t>:</w:t>
      </w:r>
    </w:p>
    <w:p w14:paraId="087F78CC" w14:textId="77777777" w:rsidR="00D11718" w:rsidRPr="00D11718" w:rsidRDefault="00D11718" w:rsidP="00D11718">
      <w:pPr>
        <w:contextualSpacing/>
        <w:rPr>
          <w:b/>
          <w:bCs/>
        </w:rPr>
      </w:pPr>
      <w:r w:rsidRPr="00D11718">
        <w:rPr>
          <w:b/>
          <w:bCs/>
        </w:rPr>
        <w:t>1. Perceivable: Information must be presented in ways users can perceive.</w:t>
      </w:r>
    </w:p>
    <w:p w14:paraId="1D49E3A8" w14:textId="6D37C6C7" w:rsidR="00D11718" w:rsidRPr="00D11718" w:rsidRDefault="00D11718" w:rsidP="00D11718">
      <w:pPr>
        <w:numPr>
          <w:ilvl w:val="0"/>
          <w:numId w:val="11"/>
        </w:numPr>
        <w:contextualSpacing/>
      </w:pPr>
      <w:r w:rsidRPr="00D11718">
        <w:rPr>
          <w:b/>
          <w:bCs/>
        </w:rPr>
        <w:t xml:space="preserve">Text Alternatives </w:t>
      </w:r>
      <w:r w:rsidRPr="00D11718">
        <w:rPr>
          <w:i/>
          <w:iCs/>
          <w:sz w:val="16"/>
          <w:szCs w:val="16"/>
        </w:rPr>
        <w:t>(1.1.1 Non-text Content)</w:t>
      </w:r>
    </w:p>
    <w:p w14:paraId="36AF6AB1" w14:textId="77777777" w:rsidR="00D11718" w:rsidRPr="00D11718" w:rsidRDefault="00D11718" w:rsidP="00D11718">
      <w:pPr>
        <w:numPr>
          <w:ilvl w:val="1"/>
          <w:numId w:val="11"/>
        </w:numPr>
        <w:contextualSpacing/>
      </w:pPr>
      <w:r w:rsidRPr="00D11718">
        <w:rPr>
          <w:b/>
          <w:bCs/>
        </w:rPr>
        <w:t>Requirement</w:t>
      </w:r>
      <w:r w:rsidRPr="00D11718">
        <w:t>: Provide text alternatives for non-text content (e.g., images, charts).</w:t>
      </w:r>
    </w:p>
    <w:p w14:paraId="029CC6CC" w14:textId="77777777" w:rsidR="00D11718" w:rsidRPr="00D11718" w:rsidRDefault="00D11718" w:rsidP="00D11718">
      <w:pPr>
        <w:numPr>
          <w:ilvl w:val="1"/>
          <w:numId w:val="11"/>
        </w:numPr>
        <w:contextualSpacing/>
      </w:pPr>
      <w:r w:rsidRPr="00D11718">
        <w:rPr>
          <w:b/>
          <w:bCs/>
        </w:rPr>
        <w:t>Canvas Action</w:t>
      </w:r>
      <w:r w:rsidRPr="00D11718">
        <w:t>:</w:t>
      </w:r>
    </w:p>
    <w:p w14:paraId="53831FF4" w14:textId="77777777" w:rsidR="00D11718" w:rsidRPr="00D11718" w:rsidRDefault="00D11718" w:rsidP="00D11718">
      <w:pPr>
        <w:numPr>
          <w:ilvl w:val="2"/>
          <w:numId w:val="11"/>
        </w:numPr>
        <w:contextualSpacing/>
      </w:pPr>
      <w:r w:rsidRPr="00D11718">
        <w:t>Add descriptive alt text to images in Canvas pages, modules, syllabi, and Syllabus Hub sites (e.g., “Graph showing population growth, 2000-2020”).</w:t>
      </w:r>
    </w:p>
    <w:p w14:paraId="799F5ED0" w14:textId="6BA8DACE" w:rsidR="00D11718" w:rsidRPr="00D11718" w:rsidRDefault="00D11718" w:rsidP="00D11718">
      <w:pPr>
        <w:numPr>
          <w:ilvl w:val="2"/>
          <w:numId w:val="11"/>
        </w:numPr>
        <w:contextualSpacing/>
      </w:pPr>
      <w:r w:rsidRPr="00D11718">
        <w:t>Use empty alt text (alt="") for decorative images.</w:t>
      </w:r>
    </w:p>
    <w:p w14:paraId="53C7834C" w14:textId="6B1AD5BF" w:rsidR="00D11718" w:rsidRPr="00D11718" w:rsidRDefault="00D11718" w:rsidP="00D11718">
      <w:pPr>
        <w:numPr>
          <w:ilvl w:val="0"/>
          <w:numId w:val="11"/>
        </w:numPr>
        <w:contextualSpacing/>
      </w:pPr>
      <w:r w:rsidRPr="00D11718">
        <w:rPr>
          <w:b/>
          <w:bCs/>
        </w:rPr>
        <w:t xml:space="preserve">Adaptable </w:t>
      </w:r>
      <w:r w:rsidRPr="00D11718">
        <w:rPr>
          <w:i/>
          <w:iCs/>
          <w:sz w:val="16"/>
          <w:szCs w:val="16"/>
        </w:rPr>
        <w:t>(1.3.1 Info and Relationships, 1.3.2 Meaningful Sequence, 1.3.3 Sensory Characteristics)</w:t>
      </w:r>
    </w:p>
    <w:p w14:paraId="2804D0B4" w14:textId="77777777" w:rsidR="00D11718" w:rsidRPr="00D11718" w:rsidRDefault="00D11718" w:rsidP="00D11718">
      <w:pPr>
        <w:numPr>
          <w:ilvl w:val="1"/>
          <w:numId w:val="11"/>
        </w:numPr>
        <w:contextualSpacing/>
      </w:pPr>
      <w:r w:rsidRPr="00D11718">
        <w:rPr>
          <w:b/>
          <w:bCs/>
        </w:rPr>
        <w:t>Requirement</w:t>
      </w:r>
      <w:r w:rsidRPr="00D11718">
        <w:t>: Structure content logically; avoid sensory-only instructions.</w:t>
      </w:r>
    </w:p>
    <w:p w14:paraId="5BC757EA" w14:textId="77777777" w:rsidR="00D11718" w:rsidRPr="00D11718" w:rsidRDefault="00D11718" w:rsidP="00D11718">
      <w:pPr>
        <w:numPr>
          <w:ilvl w:val="1"/>
          <w:numId w:val="11"/>
        </w:numPr>
        <w:contextualSpacing/>
      </w:pPr>
      <w:r w:rsidRPr="00D11718">
        <w:rPr>
          <w:b/>
          <w:bCs/>
        </w:rPr>
        <w:t>Canvas Action</w:t>
      </w:r>
      <w:r w:rsidRPr="00D11718">
        <w:t>:</w:t>
      </w:r>
    </w:p>
    <w:p w14:paraId="098493A3" w14:textId="77777777" w:rsidR="00D11718" w:rsidRPr="00D11718" w:rsidRDefault="00D11718" w:rsidP="00D11718">
      <w:pPr>
        <w:numPr>
          <w:ilvl w:val="2"/>
          <w:numId w:val="11"/>
        </w:numPr>
        <w:contextualSpacing/>
      </w:pPr>
      <w:r w:rsidRPr="00D11718">
        <w:t xml:space="preserve">Use Canvas headings (H1 for course title, H2 for sections) in pages, modules, </w:t>
      </w:r>
      <w:proofErr w:type="gramStart"/>
      <w:r w:rsidRPr="00D11718">
        <w:t>syllabi</w:t>
      </w:r>
      <w:proofErr w:type="gramEnd"/>
      <w:r w:rsidRPr="00D11718">
        <w:t>, and Syllabus Hub sites.</w:t>
      </w:r>
    </w:p>
    <w:p w14:paraId="3E208FB5" w14:textId="77777777" w:rsidR="00D11718" w:rsidRPr="00D11718" w:rsidRDefault="00D11718" w:rsidP="00D11718">
      <w:pPr>
        <w:numPr>
          <w:ilvl w:val="2"/>
          <w:numId w:val="11"/>
        </w:numPr>
        <w:contextualSpacing/>
      </w:pPr>
      <w:r w:rsidRPr="00D11718">
        <w:t>Structure syllabi with H1 for title and H2 for sections (e.g., “Course Overview”); upload as tagged PDFs or accessible Word docs.</w:t>
      </w:r>
    </w:p>
    <w:p w14:paraId="0235F524" w14:textId="77777777" w:rsidR="00D11718" w:rsidRPr="00D11718" w:rsidRDefault="00D11718" w:rsidP="00D11718">
      <w:pPr>
        <w:numPr>
          <w:ilvl w:val="2"/>
          <w:numId w:val="11"/>
        </w:numPr>
        <w:contextualSpacing/>
      </w:pPr>
      <w:r w:rsidRPr="00D11718">
        <w:t xml:space="preserve">Create </w:t>
      </w:r>
      <w:proofErr w:type="gramStart"/>
      <w:r w:rsidRPr="00D11718">
        <w:t>bulleted</w:t>
      </w:r>
      <w:proofErr w:type="gramEnd"/>
      <w:r w:rsidRPr="00D11718">
        <w:t>/numbered lists for assignments or instructions.</w:t>
      </w:r>
    </w:p>
    <w:p w14:paraId="6B0A0625" w14:textId="77777777" w:rsidR="00D11718" w:rsidRPr="00D11718" w:rsidRDefault="00D11718" w:rsidP="00D11718">
      <w:pPr>
        <w:numPr>
          <w:ilvl w:val="2"/>
          <w:numId w:val="11"/>
        </w:numPr>
        <w:contextualSpacing/>
      </w:pPr>
      <w:r w:rsidRPr="00D11718">
        <w:t>Avoid color-only cues (e.g., use “assignments marked with an asterisk” instead of “highlighted in yellow”).</w:t>
      </w:r>
    </w:p>
    <w:p w14:paraId="7A9AAFC1" w14:textId="77777777" w:rsidR="00D11718" w:rsidRDefault="00D11718" w:rsidP="00D11718">
      <w:pPr>
        <w:numPr>
          <w:ilvl w:val="2"/>
          <w:numId w:val="11"/>
        </w:numPr>
        <w:contextualSpacing/>
      </w:pPr>
      <w:r w:rsidRPr="00D11718">
        <w:t>Underline only hyperlinks, not for emphasis.</w:t>
      </w:r>
    </w:p>
    <w:p w14:paraId="2EFA37E8" w14:textId="217D7CF6" w:rsidR="00D11718" w:rsidRDefault="00D11718" w:rsidP="00D11718">
      <w:pPr>
        <w:numPr>
          <w:ilvl w:val="2"/>
          <w:numId w:val="11"/>
        </w:numPr>
        <w:contextualSpacing/>
      </w:pPr>
      <w:r>
        <w:t xml:space="preserve"> Tables: Use tables only for data, not layout. </w:t>
      </w:r>
    </w:p>
    <w:p w14:paraId="503F7C0C" w14:textId="77777777" w:rsidR="00D11718" w:rsidRDefault="00D11718" w:rsidP="00D11718">
      <w:pPr>
        <w:numPr>
          <w:ilvl w:val="3"/>
          <w:numId w:val="11"/>
        </w:numPr>
        <w:contextualSpacing/>
      </w:pPr>
      <w:r>
        <w:t>Add a table caption (e.g., “Course Schedule”).</w:t>
      </w:r>
    </w:p>
    <w:p w14:paraId="2E86BE1D" w14:textId="77777777" w:rsidR="00D11718" w:rsidRDefault="00D11718" w:rsidP="00D11718">
      <w:pPr>
        <w:numPr>
          <w:ilvl w:val="3"/>
          <w:numId w:val="11"/>
        </w:numPr>
        <w:contextualSpacing/>
      </w:pPr>
      <w:r>
        <w:t>Define header rows/columns using the editor’s table properties (Accessibility Checker &gt; Row/Column Headers).</w:t>
      </w:r>
    </w:p>
    <w:p w14:paraId="02382BA4" w14:textId="77777777" w:rsidR="00D11718" w:rsidRDefault="00D11718" w:rsidP="00D11718">
      <w:pPr>
        <w:numPr>
          <w:ilvl w:val="3"/>
          <w:numId w:val="11"/>
        </w:numPr>
        <w:contextualSpacing/>
      </w:pPr>
      <w:r>
        <w:t>Ensure simple structure (avoid merged cells or nested tables).</w:t>
      </w:r>
    </w:p>
    <w:p w14:paraId="4F33D147" w14:textId="1B097DFE" w:rsidR="00D11718" w:rsidRPr="00D11718" w:rsidRDefault="00D11718" w:rsidP="00D11718">
      <w:pPr>
        <w:numPr>
          <w:ilvl w:val="3"/>
          <w:numId w:val="11"/>
        </w:numPr>
        <w:contextualSpacing/>
      </w:pPr>
      <w:r>
        <w:lastRenderedPageBreak/>
        <w:t>Include alt text for tables in syllabi/Syllabus Hub sites if rendered as images (e.g., “Table showing weekly assignments”).</w:t>
      </w:r>
    </w:p>
    <w:p w14:paraId="1B5568B1" w14:textId="71A03C8C" w:rsidR="00D11718" w:rsidRPr="00D11718" w:rsidRDefault="00D11718" w:rsidP="00D11718">
      <w:pPr>
        <w:numPr>
          <w:ilvl w:val="0"/>
          <w:numId w:val="11"/>
        </w:numPr>
        <w:contextualSpacing/>
      </w:pPr>
      <w:r w:rsidRPr="00D11718">
        <w:rPr>
          <w:b/>
          <w:bCs/>
        </w:rPr>
        <w:t xml:space="preserve">Distinguishable </w:t>
      </w:r>
      <w:r w:rsidRPr="00D11718">
        <w:rPr>
          <w:i/>
          <w:iCs/>
          <w:sz w:val="16"/>
          <w:szCs w:val="16"/>
        </w:rPr>
        <w:t>(1.4.1 Use of Color, 1.4.3 Contrast Minimum, 1.4.4 Resize Text, 1.4.5 Images of Text)</w:t>
      </w:r>
    </w:p>
    <w:p w14:paraId="369DFF3B" w14:textId="77777777" w:rsidR="00D11718" w:rsidRPr="00D11718" w:rsidRDefault="00D11718" w:rsidP="00D11718">
      <w:pPr>
        <w:numPr>
          <w:ilvl w:val="1"/>
          <w:numId w:val="11"/>
        </w:numPr>
        <w:contextualSpacing/>
      </w:pPr>
      <w:r w:rsidRPr="00D11718">
        <w:rPr>
          <w:b/>
          <w:bCs/>
        </w:rPr>
        <w:t>Requirement</w:t>
      </w:r>
      <w:r w:rsidRPr="00D11718">
        <w:t>: Ensure sufficient contrast, resizable text, and avoid text images.</w:t>
      </w:r>
    </w:p>
    <w:p w14:paraId="6655455C" w14:textId="77777777" w:rsidR="00D11718" w:rsidRPr="00D11718" w:rsidRDefault="00D11718" w:rsidP="00D11718">
      <w:pPr>
        <w:numPr>
          <w:ilvl w:val="1"/>
          <w:numId w:val="11"/>
        </w:numPr>
        <w:contextualSpacing/>
      </w:pPr>
      <w:r w:rsidRPr="00D11718">
        <w:rPr>
          <w:b/>
          <w:bCs/>
        </w:rPr>
        <w:t>Canvas Action</w:t>
      </w:r>
      <w:r w:rsidRPr="00D11718">
        <w:t>:</w:t>
      </w:r>
    </w:p>
    <w:p w14:paraId="7052CCD6" w14:textId="77777777" w:rsidR="00D11718" w:rsidRPr="00D11718" w:rsidRDefault="00D11718" w:rsidP="00D11718">
      <w:pPr>
        <w:numPr>
          <w:ilvl w:val="2"/>
          <w:numId w:val="11"/>
        </w:numPr>
        <w:contextualSpacing/>
      </w:pPr>
      <w:r w:rsidRPr="00D11718">
        <w:t xml:space="preserve">Use fonts like Arial or Verdana (12pt+); check contrast ratios (4.5:1 for text, 3:1 for large text) with </w:t>
      </w:r>
      <w:proofErr w:type="spellStart"/>
      <w:r w:rsidRPr="00D11718">
        <w:t>WebAIM</w:t>
      </w:r>
      <w:proofErr w:type="spellEnd"/>
      <w:r w:rsidRPr="00D11718">
        <w:t xml:space="preserve"> Contrast Checker.</w:t>
      </w:r>
    </w:p>
    <w:p w14:paraId="33891598" w14:textId="77777777" w:rsidR="00D11718" w:rsidRPr="00D11718" w:rsidRDefault="00D11718" w:rsidP="00D11718">
      <w:pPr>
        <w:numPr>
          <w:ilvl w:val="2"/>
          <w:numId w:val="11"/>
        </w:numPr>
        <w:contextualSpacing/>
      </w:pPr>
      <w:r w:rsidRPr="00D11718">
        <w:t xml:space="preserve">Avoid images of text in Canvas pages, </w:t>
      </w:r>
      <w:proofErr w:type="gramStart"/>
      <w:r w:rsidRPr="00D11718">
        <w:t>syllabi</w:t>
      </w:r>
      <w:proofErr w:type="gramEnd"/>
      <w:r w:rsidRPr="00D11718">
        <w:t>, or Syllabus Hub sites; use text instead.</w:t>
      </w:r>
    </w:p>
    <w:p w14:paraId="2D0E38C5" w14:textId="77777777" w:rsidR="00D11718" w:rsidRPr="00D11718" w:rsidRDefault="00D11718" w:rsidP="00D11718">
      <w:pPr>
        <w:numPr>
          <w:ilvl w:val="2"/>
          <w:numId w:val="11"/>
        </w:numPr>
        <w:contextualSpacing/>
      </w:pPr>
      <w:r w:rsidRPr="00D11718">
        <w:t>Ensure Canvas content (e.g., pages, discussions) supports browser zoom up to 200%.</w:t>
      </w:r>
    </w:p>
    <w:p w14:paraId="15A49B29" w14:textId="77777777" w:rsidR="00D11718" w:rsidRPr="00D11718" w:rsidRDefault="00D11718" w:rsidP="00D11718">
      <w:pPr>
        <w:contextualSpacing/>
        <w:rPr>
          <w:b/>
          <w:bCs/>
        </w:rPr>
      </w:pPr>
      <w:r w:rsidRPr="00D11718">
        <w:rPr>
          <w:b/>
          <w:bCs/>
        </w:rPr>
        <w:t>2. Operable: Interface components must be operable by all users.</w:t>
      </w:r>
    </w:p>
    <w:p w14:paraId="66E13335" w14:textId="7D383D9A" w:rsidR="00D11718" w:rsidRPr="00D11718" w:rsidRDefault="00D11718" w:rsidP="00D11718">
      <w:pPr>
        <w:numPr>
          <w:ilvl w:val="0"/>
          <w:numId w:val="12"/>
        </w:numPr>
        <w:contextualSpacing/>
      </w:pPr>
      <w:r w:rsidRPr="00D11718">
        <w:rPr>
          <w:b/>
          <w:bCs/>
        </w:rPr>
        <w:t xml:space="preserve">Keyboard Accessible </w:t>
      </w:r>
      <w:r w:rsidRPr="00D11718">
        <w:rPr>
          <w:i/>
          <w:iCs/>
          <w:sz w:val="16"/>
          <w:szCs w:val="16"/>
        </w:rPr>
        <w:t>(2.1.1 Keyboard, 2.1.2 No Keyboard Trap)</w:t>
      </w:r>
    </w:p>
    <w:p w14:paraId="687664BF" w14:textId="77777777" w:rsidR="00D11718" w:rsidRPr="00D11718" w:rsidRDefault="00D11718" w:rsidP="00D11718">
      <w:pPr>
        <w:numPr>
          <w:ilvl w:val="1"/>
          <w:numId w:val="12"/>
        </w:numPr>
        <w:contextualSpacing/>
      </w:pPr>
      <w:r w:rsidRPr="00D11718">
        <w:rPr>
          <w:b/>
          <w:bCs/>
        </w:rPr>
        <w:t>Requirement</w:t>
      </w:r>
      <w:r w:rsidRPr="00D11718">
        <w:t xml:space="preserve">: All </w:t>
      </w:r>
      <w:proofErr w:type="gramStart"/>
      <w:r w:rsidRPr="00D11718">
        <w:t>functionality</w:t>
      </w:r>
      <w:proofErr w:type="gramEnd"/>
      <w:r w:rsidRPr="00D11718">
        <w:t xml:space="preserve"> must be keyboard-navigable without traps.</w:t>
      </w:r>
    </w:p>
    <w:p w14:paraId="2103F431" w14:textId="77777777" w:rsidR="00D11718" w:rsidRPr="00D11718" w:rsidRDefault="00D11718" w:rsidP="00D11718">
      <w:pPr>
        <w:numPr>
          <w:ilvl w:val="1"/>
          <w:numId w:val="12"/>
        </w:numPr>
        <w:contextualSpacing/>
      </w:pPr>
      <w:r w:rsidRPr="00D11718">
        <w:rPr>
          <w:b/>
          <w:bCs/>
        </w:rPr>
        <w:t>Canvas Action</w:t>
      </w:r>
      <w:r w:rsidRPr="00D11718">
        <w:t>:</w:t>
      </w:r>
    </w:p>
    <w:p w14:paraId="2FBBB87E" w14:textId="77777777" w:rsidR="00D11718" w:rsidRPr="00D11718" w:rsidRDefault="00D11718" w:rsidP="00D11718">
      <w:pPr>
        <w:numPr>
          <w:ilvl w:val="2"/>
          <w:numId w:val="12"/>
        </w:numPr>
        <w:contextualSpacing/>
      </w:pPr>
      <w:r w:rsidRPr="00D11718">
        <w:t>Test quizzes, links, and interactive elements (e.g., discussions) with keyboard (Tab, Enter, Arrow keys).</w:t>
      </w:r>
    </w:p>
    <w:p w14:paraId="4FA1988F" w14:textId="77777777" w:rsidR="00D11718" w:rsidRPr="00D11718" w:rsidRDefault="00D11718" w:rsidP="00D11718">
      <w:pPr>
        <w:numPr>
          <w:ilvl w:val="2"/>
          <w:numId w:val="12"/>
        </w:numPr>
        <w:contextualSpacing/>
      </w:pPr>
      <w:r w:rsidRPr="00D11718">
        <w:t>Avoid non-keyboard-navigable third-party tools (e.g., publisher content).</w:t>
      </w:r>
    </w:p>
    <w:p w14:paraId="0566772D" w14:textId="77777777" w:rsidR="00D11718" w:rsidRPr="00D11718" w:rsidRDefault="00D11718" w:rsidP="00D11718">
      <w:pPr>
        <w:numPr>
          <w:ilvl w:val="2"/>
          <w:numId w:val="12"/>
        </w:numPr>
        <w:contextualSpacing/>
      </w:pPr>
      <w:r w:rsidRPr="00D11718">
        <w:t xml:space="preserve">Ensure Syllabus Hub site navigation is </w:t>
      </w:r>
      <w:proofErr w:type="gramStart"/>
      <w:r w:rsidRPr="00D11718">
        <w:t>keyboard-friendly</w:t>
      </w:r>
      <w:proofErr w:type="gramEnd"/>
      <w:r w:rsidRPr="00D11718">
        <w:t>.</w:t>
      </w:r>
    </w:p>
    <w:p w14:paraId="46F6A8ED" w14:textId="2B3FAD96" w:rsidR="00D11718" w:rsidRPr="00D11718" w:rsidRDefault="00D11718" w:rsidP="00D11718">
      <w:pPr>
        <w:numPr>
          <w:ilvl w:val="0"/>
          <w:numId w:val="12"/>
        </w:numPr>
        <w:contextualSpacing/>
      </w:pPr>
      <w:r w:rsidRPr="00D11718">
        <w:rPr>
          <w:b/>
          <w:bCs/>
        </w:rPr>
        <w:t xml:space="preserve">Enough Time </w:t>
      </w:r>
      <w:r w:rsidRPr="00D11718">
        <w:rPr>
          <w:i/>
          <w:iCs/>
          <w:sz w:val="16"/>
          <w:szCs w:val="16"/>
        </w:rPr>
        <w:t>(2.2.1 Timing Adjustable, 2.2.2 Pause, Stop, Hide)</w:t>
      </w:r>
    </w:p>
    <w:p w14:paraId="7FBB730C" w14:textId="77777777" w:rsidR="00D11718" w:rsidRPr="00D11718" w:rsidRDefault="00D11718" w:rsidP="00D11718">
      <w:pPr>
        <w:numPr>
          <w:ilvl w:val="1"/>
          <w:numId w:val="12"/>
        </w:numPr>
        <w:contextualSpacing/>
      </w:pPr>
      <w:r w:rsidRPr="00D11718">
        <w:rPr>
          <w:b/>
          <w:bCs/>
        </w:rPr>
        <w:t>Requirement</w:t>
      </w:r>
      <w:r w:rsidRPr="00D11718">
        <w:t>: Provide adjustable timing and control over moving content.</w:t>
      </w:r>
    </w:p>
    <w:p w14:paraId="5539833A" w14:textId="77777777" w:rsidR="00D11718" w:rsidRPr="00D11718" w:rsidRDefault="00D11718" w:rsidP="00D11718">
      <w:pPr>
        <w:numPr>
          <w:ilvl w:val="1"/>
          <w:numId w:val="12"/>
        </w:numPr>
        <w:contextualSpacing/>
      </w:pPr>
      <w:r w:rsidRPr="00D11718">
        <w:rPr>
          <w:b/>
          <w:bCs/>
        </w:rPr>
        <w:t>Canvas Action</w:t>
      </w:r>
      <w:r w:rsidRPr="00D11718">
        <w:t>:</w:t>
      </w:r>
    </w:p>
    <w:p w14:paraId="1A6C2941" w14:textId="77777777" w:rsidR="00D11718" w:rsidRPr="00D11718" w:rsidRDefault="00D11718" w:rsidP="00D11718">
      <w:pPr>
        <w:numPr>
          <w:ilvl w:val="2"/>
          <w:numId w:val="12"/>
        </w:numPr>
        <w:contextualSpacing/>
      </w:pPr>
      <w:r w:rsidRPr="00D11718">
        <w:t>Disable quiz time limits unless essential; provide extra time via Canvas quiz settings (Quizzes &gt; Moderate Quiz) for accommodations.</w:t>
      </w:r>
    </w:p>
    <w:p w14:paraId="42776CA5" w14:textId="610C83DC" w:rsidR="00D11718" w:rsidRPr="00D11718" w:rsidRDefault="00D11718" w:rsidP="00D11718">
      <w:pPr>
        <w:numPr>
          <w:ilvl w:val="2"/>
          <w:numId w:val="12"/>
        </w:numPr>
        <w:contextualSpacing/>
      </w:pPr>
      <w:r w:rsidRPr="00D11718">
        <w:t>Avoid auto-playing videos or slideshows in Canvas pages</w:t>
      </w:r>
      <w:r>
        <w:t>.</w:t>
      </w:r>
      <w:r w:rsidRPr="00D11718">
        <w:t xml:space="preserve"> </w:t>
      </w:r>
    </w:p>
    <w:p w14:paraId="7A8FBB19" w14:textId="44F32E88" w:rsidR="00D11718" w:rsidRPr="00D11718" w:rsidRDefault="00D11718" w:rsidP="00D11718">
      <w:pPr>
        <w:numPr>
          <w:ilvl w:val="0"/>
          <w:numId w:val="12"/>
        </w:numPr>
        <w:contextualSpacing/>
      </w:pPr>
      <w:r w:rsidRPr="00D11718">
        <w:rPr>
          <w:b/>
          <w:bCs/>
        </w:rPr>
        <w:t xml:space="preserve">Navigable </w:t>
      </w:r>
      <w:r w:rsidRPr="00D11718">
        <w:rPr>
          <w:i/>
          <w:iCs/>
          <w:sz w:val="16"/>
          <w:szCs w:val="16"/>
        </w:rPr>
        <w:t>(2.4.1 Bypass Blocks, 2.4.3 Focus Order, 2.4.4 Link Purpose, 2.4.5 Multiple Ways, 2.4.7 Focus Visible)</w:t>
      </w:r>
    </w:p>
    <w:p w14:paraId="7709A105" w14:textId="77777777" w:rsidR="00D11718" w:rsidRPr="00D11718" w:rsidRDefault="00D11718" w:rsidP="00D11718">
      <w:pPr>
        <w:numPr>
          <w:ilvl w:val="1"/>
          <w:numId w:val="12"/>
        </w:numPr>
        <w:contextualSpacing/>
      </w:pPr>
      <w:r w:rsidRPr="00D11718">
        <w:rPr>
          <w:b/>
          <w:bCs/>
        </w:rPr>
        <w:t>Requirement</w:t>
      </w:r>
      <w:r w:rsidRPr="00D11718">
        <w:t>: Provide clear navigation, descriptive links, and visible focus.</w:t>
      </w:r>
    </w:p>
    <w:p w14:paraId="47732F3B" w14:textId="77777777" w:rsidR="00D11718" w:rsidRPr="00D11718" w:rsidRDefault="00D11718" w:rsidP="00D11718">
      <w:pPr>
        <w:numPr>
          <w:ilvl w:val="1"/>
          <w:numId w:val="12"/>
        </w:numPr>
        <w:contextualSpacing/>
      </w:pPr>
      <w:r w:rsidRPr="00D11718">
        <w:rPr>
          <w:b/>
          <w:bCs/>
        </w:rPr>
        <w:t>Canvas Action</w:t>
      </w:r>
      <w:r w:rsidRPr="00D11718">
        <w:t>:</w:t>
      </w:r>
    </w:p>
    <w:p w14:paraId="28E7D25C" w14:textId="77777777" w:rsidR="00D11718" w:rsidRPr="00D11718" w:rsidRDefault="00D11718" w:rsidP="00D11718">
      <w:pPr>
        <w:numPr>
          <w:ilvl w:val="2"/>
          <w:numId w:val="12"/>
        </w:numPr>
        <w:contextualSpacing/>
      </w:pPr>
      <w:r w:rsidRPr="00D11718">
        <w:t>Use Canvas modules for consistent navigation; include a “Start Here” module.</w:t>
      </w:r>
    </w:p>
    <w:p w14:paraId="607DEAC9" w14:textId="77777777" w:rsidR="00D11718" w:rsidRPr="00D11718" w:rsidRDefault="00D11718" w:rsidP="00D11718">
      <w:pPr>
        <w:numPr>
          <w:ilvl w:val="2"/>
          <w:numId w:val="12"/>
        </w:numPr>
        <w:contextualSpacing/>
      </w:pPr>
      <w:r w:rsidRPr="00D11718">
        <w:t>Create descriptive link text (e.g., “Week 1 Lecture Notes” not “Click Here”) in pages, syllabi, and Syllabus Hub sites.</w:t>
      </w:r>
    </w:p>
    <w:p w14:paraId="59A51947" w14:textId="77777777" w:rsidR="00D11718" w:rsidRPr="00D11718" w:rsidRDefault="00D11718" w:rsidP="00D11718">
      <w:pPr>
        <w:numPr>
          <w:ilvl w:val="2"/>
          <w:numId w:val="12"/>
        </w:numPr>
        <w:contextualSpacing/>
      </w:pPr>
      <w:r w:rsidRPr="00D11718">
        <w:t>Validate all links for accessibility.</w:t>
      </w:r>
    </w:p>
    <w:p w14:paraId="2DC7A717" w14:textId="77777777" w:rsidR="00D11718" w:rsidRPr="00D11718" w:rsidRDefault="00D11718" w:rsidP="00D11718">
      <w:pPr>
        <w:numPr>
          <w:ilvl w:val="2"/>
          <w:numId w:val="12"/>
        </w:numPr>
        <w:contextualSpacing/>
      </w:pPr>
      <w:r w:rsidRPr="00D11718">
        <w:t>Ensure keyboard focus is visible (test with Tab key).</w:t>
      </w:r>
    </w:p>
    <w:p w14:paraId="5F61DF37" w14:textId="77777777" w:rsidR="00D11718" w:rsidRPr="00D11718" w:rsidRDefault="00D11718" w:rsidP="00D11718">
      <w:pPr>
        <w:contextualSpacing/>
        <w:rPr>
          <w:b/>
          <w:bCs/>
        </w:rPr>
      </w:pPr>
      <w:r w:rsidRPr="00D11718">
        <w:rPr>
          <w:b/>
          <w:bCs/>
        </w:rPr>
        <w:t>3. Understandable: Content and interface must be understandable.</w:t>
      </w:r>
    </w:p>
    <w:p w14:paraId="48BD3438" w14:textId="5A201461" w:rsidR="00D11718" w:rsidRPr="00D11718" w:rsidRDefault="00D11718" w:rsidP="00D11718">
      <w:pPr>
        <w:numPr>
          <w:ilvl w:val="0"/>
          <w:numId w:val="13"/>
        </w:numPr>
        <w:contextualSpacing/>
      </w:pPr>
      <w:r w:rsidRPr="00D11718">
        <w:rPr>
          <w:b/>
          <w:bCs/>
        </w:rPr>
        <w:t xml:space="preserve">Readable </w:t>
      </w:r>
      <w:r w:rsidRPr="00D11718">
        <w:rPr>
          <w:i/>
          <w:iCs/>
          <w:sz w:val="16"/>
          <w:szCs w:val="16"/>
        </w:rPr>
        <w:t>(3.1.1 Language of Page, 3.1.2 Language of Parts)</w:t>
      </w:r>
    </w:p>
    <w:p w14:paraId="1D89301F" w14:textId="77777777" w:rsidR="00D11718" w:rsidRPr="00D11718" w:rsidRDefault="00D11718" w:rsidP="00D11718">
      <w:pPr>
        <w:numPr>
          <w:ilvl w:val="1"/>
          <w:numId w:val="13"/>
        </w:numPr>
        <w:contextualSpacing/>
      </w:pPr>
      <w:r w:rsidRPr="00D11718">
        <w:rPr>
          <w:b/>
          <w:bCs/>
        </w:rPr>
        <w:t>Requirement</w:t>
      </w:r>
      <w:r w:rsidRPr="00D11718">
        <w:t>: Define page language and language changes.</w:t>
      </w:r>
    </w:p>
    <w:p w14:paraId="3307DEB1" w14:textId="77777777" w:rsidR="00D11718" w:rsidRPr="00D11718" w:rsidRDefault="00D11718" w:rsidP="00D11718">
      <w:pPr>
        <w:numPr>
          <w:ilvl w:val="1"/>
          <w:numId w:val="13"/>
        </w:numPr>
        <w:contextualSpacing/>
      </w:pPr>
      <w:r w:rsidRPr="00D11718">
        <w:rPr>
          <w:b/>
          <w:bCs/>
        </w:rPr>
        <w:t>Canvas Action</w:t>
      </w:r>
      <w:r w:rsidRPr="00D11718">
        <w:t>:</w:t>
      </w:r>
    </w:p>
    <w:p w14:paraId="52BEE43B" w14:textId="18809AEF" w:rsidR="00D11718" w:rsidRPr="00D11718" w:rsidRDefault="00D11718" w:rsidP="00D11718">
      <w:pPr>
        <w:numPr>
          <w:ilvl w:val="2"/>
          <w:numId w:val="13"/>
        </w:numPr>
        <w:contextualSpacing/>
      </w:pPr>
      <w:r w:rsidRPr="00D11718">
        <w:t>Set course language to English in Canvas settings (Course Details &gt; Language).</w:t>
      </w:r>
    </w:p>
    <w:p w14:paraId="00469AB5" w14:textId="453D422A" w:rsidR="00D11718" w:rsidRPr="00D11718" w:rsidRDefault="00D11718" w:rsidP="00D11718">
      <w:pPr>
        <w:numPr>
          <w:ilvl w:val="0"/>
          <w:numId w:val="13"/>
        </w:numPr>
        <w:contextualSpacing/>
      </w:pPr>
      <w:r w:rsidRPr="00D11718">
        <w:rPr>
          <w:b/>
          <w:bCs/>
        </w:rPr>
        <w:lastRenderedPageBreak/>
        <w:t xml:space="preserve">Predictable </w:t>
      </w:r>
      <w:r w:rsidRPr="00D11718">
        <w:rPr>
          <w:i/>
          <w:iCs/>
          <w:sz w:val="16"/>
          <w:szCs w:val="16"/>
        </w:rPr>
        <w:t>(3.2.1 On Focus, 3.2.2 On Input, 3.2.3 Consistent Navigation, 3.2.4 Consistent Identification)</w:t>
      </w:r>
    </w:p>
    <w:p w14:paraId="2FA9BB1E" w14:textId="77777777" w:rsidR="00D11718" w:rsidRPr="00D11718" w:rsidRDefault="00D11718" w:rsidP="00D11718">
      <w:pPr>
        <w:numPr>
          <w:ilvl w:val="1"/>
          <w:numId w:val="13"/>
        </w:numPr>
        <w:contextualSpacing/>
      </w:pPr>
      <w:r w:rsidRPr="00D11718">
        <w:rPr>
          <w:b/>
          <w:bCs/>
        </w:rPr>
        <w:t>Requirement</w:t>
      </w:r>
      <w:r w:rsidRPr="00D11718">
        <w:t>: Ensure predictable behavior and consistent navigation.</w:t>
      </w:r>
    </w:p>
    <w:p w14:paraId="1D7C2B91" w14:textId="77777777" w:rsidR="00D11718" w:rsidRPr="00D11718" w:rsidRDefault="00D11718" w:rsidP="00D11718">
      <w:pPr>
        <w:numPr>
          <w:ilvl w:val="1"/>
          <w:numId w:val="13"/>
        </w:numPr>
        <w:contextualSpacing/>
      </w:pPr>
      <w:r w:rsidRPr="00D11718">
        <w:rPr>
          <w:b/>
          <w:bCs/>
        </w:rPr>
        <w:t>Canvas Action</w:t>
      </w:r>
      <w:r w:rsidRPr="00D11718">
        <w:t>:</w:t>
      </w:r>
    </w:p>
    <w:p w14:paraId="3FA02E58" w14:textId="77777777" w:rsidR="00D11718" w:rsidRPr="00D11718" w:rsidRDefault="00D11718" w:rsidP="00D11718">
      <w:pPr>
        <w:numPr>
          <w:ilvl w:val="2"/>
          <w:numId w:val="13"/>
        </w:numPr>
        <w:contextualSpacing/>
      </w:pPr>
      <w:r w:rsidRPr="00D11718">
        <w:t>Use consistent module structure (e.g., Overview, Readings, Assignments) across weeks.</w:t>
      </w:r>
    </w:p>
    <w:p w14:paraId="7F1EC98C" w14:textId="77777777" w:rsidR="00D11718" w:rsidRPr="00D11718" w:rsidRDefault="00D11718" w:rsidP="00D11718">
      <w:pPr>
        <w:numPr>
          <w:ilvl w:val="2"/>
          <w:numId w:val="13"/>
        </w:numPr>
        <w:contextualSpacing/>
      </w:pPr>
      <w:r w:rsidRPr="00D11718">
        <w:t>Avoid links or inputs that trigger unexpected changes (e.g., auto-submitting forms).</w:t>
      </w:r>
    </w:p>
    <w:p w14:paraId="5B26E90F" w14:textId="77777777" w:rsidR="00D11718" w:rsidRPr="00D11718" w:rsidRDefault="00D11718" w:rsidP="00D11718">
      <w:pPr>
        <w:numPr>
          <w:ilvl w:val="2"/>
          <w:numId w:val="13"/>
        </w:numPr>
        <w:contextualSpacing/>
      </w:pPr>
      <w:r w:rsidRPr="00D11718">
        <w:t>Label buttons/icons consistently (e.g., “Submit Assignment” in all modules).</w:t>
      </w:r>
    </w:p>
    <w:p w14:paraId="7EC7BF2F" w14:textId="77777777" w:rsidR="00D11718" w:rsidRPr="00D11718" w:rsidRDefault="00D11718" w:rsidP="00D11718">
      <w:pPr>
        <w:numPr>
          <w:ilvl w:val="2"/>
          <w:numId w:val="13"/>
        </w:numPr>
        <w:contextualSpacing/>
      </w:pPr>
      <w:r w:rsidRPr="00D11718">
        <w:t>Format announcements with plain text, headings, and bulleted lists (e.g., “Week 2 Tasks: * Read Chapter 3 * Submit Quiz”); avoid color-based instructions (e.g., “red assignments are due”). Post in Canvas and email.</w:t>
      </w:r>
    </w:p>
    <w:p w14:paraId="4FFE6D01" w14:textId="18C47EB2" w:rsidR="00D11718" w:rsidRPr="00D11718" w:rsidRDefault="00D11718" w:rsidP="00D11718">
      <w:pPr>
        <w:numPr>
          <w:ilvl w:val="0"/>
          <w:numId w:val="13"/>
        </w:numPr>
        <w:contextualSpacing/>
      </w:pPr>
      <w:r w:rsidRPr="00D11718">
        <w:rPr>
          <w:b/>
          <w:bCs/>
        </w:rPr>
        <w:t>Input Assistance (</w:t>
      </w:r>
      <w:r w:rsidRPr="00D11718">
        <w:rPr>
          <w:i/>
          <w:iCs/>
          <w:sz w:val="14"/>
          <w:szCs w:val="14"/>
        </w:rPr>
        <w:t>3.3.1 Error Identification, 3.3.2 Labels or Instructions, 3.3.3 Error Suggestion, 3.3.4 Error Prevention)</w:t>
      </w:r>
    </w:p>
    <w:p w14:paraId="6EA88DD0" w14:textId="77777777" w:rsidR="00D11718" w:rsidRPr="00D11718" w:rsidRDefault="00D11718" w:rsidP="00D11718">
      <w:pPr>
        <w:numPr>
          <w:ilvl w:val="1"/>
          <w:numId w:val="13"/>
        </w:numPr>
        <w:contextualSpacing/>
      </w:pPr>
      <w:r w:rsidRPr="00D11718">
        <w:rPr>
          <w:b/>
          <w:bCs/>
        </w:rPr>
        <w:t>Requirement</w:t>
      </w:r>
      <w:r w:rsidRPr="00D11718">
        <w:t>: Provide clear labels, instructions, and error feedback.</w:t>
      </w:r>
    </w:p>
    <w:p w14:paraId="53554538" w14:textId="77777777" w:rsidR="00D11718" w:rsidRPr="00D11718" w:rsidRDefault="00D11718" w:rsidP="00D11718">
      <w:pPr>
        <w:numPr>
          <w:ilvl w:val="1"/>
          <w:numId w:val="13"/>
        </w:numPr>
        <w:contextualSpacing/>
      </w:pPr>
      <w:r w:rsidRPr="00D11718">
        <w:rPr>
          <w:b/>
          <w:bCs/>
        </w:rPr>
        <w:t>Canvas Action</w:t>
      </w:r>
      <w:r w:rsidRPr="00D11718">
        <w:t>:</w:t>
      </w:r>
    </w:p>
    <w:p w14:paraId="094D5B7A" w14:textId="77777777" w:rsidR="00D11718" w:rsidRPr="00D11718" w:rsidRDefault="00D11718" w:rsidP="00D11718">
      <w:pPr>
        <w:numPr>
          <w:ilvl w:val="2"/>
          <w:numId w:val="13"/>
        </w:numPr>
        <w:contextualSpacing/>
      </w:pPr>
      <w:r w:rsidRPr="00D11718">
        <w:t>Label quiz and assignment fields clearly (e.g., “Essay Response”).</w:t>
      </w:r>
    </w:p>
    <w:p w14:paraId="77BAFA89" w14:textId="77777777" w:rsidR="00D11718" w:rsidRPr="00D11718" w:rsidRDefault="00D11718" w:rsidP="00D11718">
      <w:pPr>
        <w:numPr>
          <w:ilvl w:val="2"/>
          <w:numId w:val="13"/>
        </w:numPr>
        <w:contextualSpacing/>
      </w:pPr>
      <w:r w:rsidRPr="00D11718">
        <w:t>Provide instructions (e.g., “Upload a PDF or Word doc”).</w:t>
      </w:r>
    </w:p>
    <w:p w14:paraId="5B2A41D8" w14:textId="39D5B332" w:rsidR="00D11718" w:rsidRPr="00D11718" w:rsidRDefault="00D11718" w:rsidP="00D11718">
      <w:pPr>
        <w:numPr>
          <w:ilvl w:val="2"/>
          <w:numId w:val="13"/>
        </w:numPr>
        <w:contextualSpacing/>
      </w:pPr>
      <w:r w:rsidRPr="00D11718">
        <w:t xml:space="preserve">Use </w:t>
      </w:r>
      <w:proofErr w:type="spellStart"/>
      <w:r w:rsidRPr="00D11718">
        <w:t>SpeedGrader</w:t>
      </w:r>
      <w:proofErr w:type="spellEnd"/>
      <w:r w:rsidRPr="00D11718">
        <w:t xml:space="preserve"> for descriptive feedback (e.g., “Please resubmit with citations”).</w:t>
      </w:r>
    </w:p>
    <w:p w14:paraId="7F2CE0D8" w14:textId="77777777" w:rsidR="00D11718" w:rsidRPr="00D11718" w:rsidRDefault="00D11718" w:rsidP="00D11718">
      <w:pPr>
        <w:contextualSpacing/>
        <w:rPr>
          <w:b/>
          <w:bCs/>
        </w:rPr>
      </w:pPr>
      <w:r w:rsidRPr="00D11718">
        <w:rPr>
          <w:b/>
          <w:bCs/>
        </w:rPr>
        <w:t>4. Robust: Content must be compatible with assistive technologies.</w:t>
      </w:r>
    </w:p>
    <w:p w14:paraId="77BAB574" w14:textId="1BBAC640" w:rsidR="00D11718" w:rsidRPr="00D11718" w:rsidRDefault="00D11718" w:rsidP="00D11718">
      <w:pPr>
        <w:numPr>
          <w:ilvl w:val="0"/>
          <w:numId w:val="14"/>
        </w:numPr>
        <w:contextualSpacing/>
      </w:pPr>
      <w:r w:rsidRPr="00D11718">
        <w:rPr>
          <w:b/>
          <w:bCs/>
        </w:rPr>
        <w:t xml:space="preserve">Compatible </w:t>
      </w:r>
      <w:r w:rsidRPr="00D11718">
        <w:rPr>
          <w:i/>
          <w:iCs/>
          <w:sz w:val="16"/>
          <w:szCs w:val="16"/>
        </w:rPr>
        <w:t>(4.1.1 Parsing, 4.1.2 Name, Role, Value, 4.1.3 Status Messages)</w:t>
      </w:r>
    </w:p>
    <w:p w14:paraId="50D00E10" w14:textId="77777777" w:rsidR="00D11718" w:rsidRPr="00D11718" w:rsidRDefault="00D11718" w:rsidP="00D11718">
      <w:pPr>
        <w:numPr>
          <w:ilvl w:val="1"/>
          <w:numId w:val="14"/>
        </w:numPr>
        <w:contextualSpacing/>
      </w:pPr>
      <w:r w:rsidRPr="00D11718">
        <w:rPr>
          <w:b/>
          <w:bCs/>
        </w:rPr>
        <w:t>Requirement</w:t>
      </w:r>
      <w:r w:rsidRPr="00D11718">
        <w:t>: Ensure content works with screen readers and assistive tools.</w:t>
      </w:r>
    </w:p>
    <w:p w14:paraId="58B85D71" w14:textId="77777777" w:rsidR="00D11718" w:rsidRPr="00D11718" w:rsidRDefault="00D11718" w:rsidP="00D11718">
      <w:pPr>
        <w:numPr>
          <w:ilvl w:val="1"/>
          <w:numId w:val="14"/>
        </w:numPr>
        <w:contextualSpacing/>
      </w:pPr>
      <w:r w:rsidRPr="00D11718">
        <w:rPr>
          <w:b/>
          <w:bCs/>
        </w:rPr>
        <w:t>Canvas Action</w:t>
      </w:r>
      <w:r w:rsidRPr="00D11718">
        <w:t>:</w:t>
      </w:r>
    </w:p>
    <w:p w14:paraId="33E5ABE4" w14:textId="77777777" w:rsidR="00D11718" w:rsidRPr="00D11718" w:rsidRDefault="00D11718" w:rsidP="00D11718">
      <w:pPr>
        <w:numPr>
          <w:ilvl w:val="2"/>
          <w:numId w:val="14"/>
        </w:numPr>
        <w:contextualSpacing/>
      </w:pPr>
      <w:r w:rsidRPr="00D11718">
        <w:t>Use Canvas Rich Content Editor to create valid HTML.</w:t>
      </w:r>
    </w:p>
    <w:p w14:paraId="0D001CA1" w14:textId="77777777" w:rsidR="00D11718" w:rsidRPr="00D11718" w:rsidRDefault="00D11718" w:rsidP="00D11718">
      <w:pPr>
        <w:numPr>
          <w:ilvl w:val="2"/>
          <w:numId w:val="14"/>
        </w:numPr>
        <w:contextualSpacing/>
      </w:pPr>
      <w:r w:rsidRPr="00D11718">
        <w:t xml:space="preserve">Test pages, quizzes, </w:t>
      </w:r>
      <w:proofErr w:type="gramStart"/>
      <w:r w:rsidRPr="00D11718">
        <w:t>syllabi</w:t>
      </w:r>
      <w:proofErr w:type="gramEnd"/>
      <w:r w:rsidRPr="00D11718">
        <w:t xml:space="preserve">, and Syllabus Hub sites with screen readers (e.g., NVDA, </w:t>
      </w:r>
      <w:proofErr w:type="spellStart"/>
      <w:r w:rsidRPr="00D11718">
        <w:t>VoiceOver</w:t>
      </w:r>
      <w:proofErr w:type="spellEnd"/>
      <w:r w:rsidRPr="00D11718">
        <w:t>).</w:t>
      </w:r>
    </w:p>
    <w:p w14:paraId="5856F4F3" w14:textId="77777777" w:rsidR="00D11718" w:rsidRPr="00D11718" w:rsidRDefault="00D11718" w:rsidP="00D11718">
      <w:pPr>
        <w:numPr>
          <w:ilvl w:val="2"/>
          <w:numId w:val="14"/>
        </w:numPr>
        <w:contextualSpacing/>
      </w:pPr>
      <w:r w:rsidRPr="00D11718">
        <w:t>Upload videos to APU YouTube for auto-captioning; edit captions for accuracy. Provide transcripts as text files or Canvas pages. Include audio descriptions for visual content (e.g., “The graph rises steadily from 2000 to 2020”).</w:t>
      </w:r>
    </w:p>
    <w:p w14:paraId="1AFFEB6A" w14:textId="77777777" w:rsidR="00D11718" w:rsidRPr="00D11718" w:rsidRDefault="00D11718" w:rsidP="00D11718">
      <w:pPr>
        <w:numPr>
          <w:ilvl w:val="2"/>
          <w:numId w:val="14"/>
        </w:numPr>
        <w:contextualSpacing/>
      </w:pPr>
      <w:r w:rsidRPr="00D11718">
        <w:t>Ensure third-party embeds (e.g., YouTube videos) have accessible controls.</w:t>
      </w:r>
    </w:p>
    <w:p w14:paraId="66F712E1" w14:textId="77777777" w:rsidR="00D11718" w:rsidRPr="00D11718" w:rsidRDefault="00D11718" w:rsidP="00D11718">
      <w:pPr>
        <w:numPr>
          <w:ilvl w:val="2"/>
          <w:numId w:val="14"/>
        </w:numPr>
        <w:contextualSpacing/>
      </w:pPr>
      <w:r w:rsidRPr="00D11718">
        <w:t xml:space="preserve">Use the approved Dev Master </w:t>
      </w:r>
      <w:proofErr w:type="gramStart"/>
      <w:r w:rsidRPr="00D11718">
        <w:t>template</w:t>
      </w:r>
      <w:proofErr w:type="gramEnd"/>
      <w:r w:rsidRPr="00D11718">
        <w:t xml:space="preserve"> (Official Dev Master Template) for online courses to ensure baseline accessibility; verify compliance with WCAG 2.1.</w:t>
      </w:r>
    </w:p>
    <w:p w14:paraId="2F9C259E" w14:textId="77777777" w:rsidR="00D11718" w:rsidRPr="00D11718" w:rsidRDefault="00D11718" w:rsidP="00D11718">
      <w:pPr>
        <w:numPr>
          <w:ilvl w:val="2"/>
          <w:numId w:val="14"/>
        </w:numPr>
        <w:contextualSpacing/>
      </w:pPr>
      <w:r w:rsidRPr="00D11718">
        <w:t xml:space="preserve">Coordinate with disability services for </w:t>
      </w:r>
      <w:proofErr w:type="gramStart"/>
      <w:r w:rsidRPr="00D11718">
        <w:t>accommodations</w:t>
      </w:r>
      <w:proofErr w:type="gramEnd"/>
      <w:r w:rsidRPr="00D11718">
        <w:t xml:space="preserve"> (e.g., alternative formats, interpreters).</w:t>
      </w:r>
    </w:p>
    <w:p w14:paraId="27139218" w14:textId="77777777" w:rsidR="00D11718" w:rsidRPr="00D11718" w:rsidRDefault="00D11718" w:rsidP="00D11718">
      <w:pPr>
        <w:contextualSpacing/>
      </w:pPr>
    </w:p>
    <w:p w14:paraId="2DD069F8" w14:textId="1BAEE324" w:rsidR="00D11718" w:rsidRPr="00D11718" w:rsidRDefault="00D11718" w:rsidP="00D11718">
      <w:pPr>
        <w:contextualSpacing/>
      </w:pPr>
    </w:p>
    <w:p w14:paraId="15C94D45" w14:textId="77777777" w:rsidR="00D11718" w:rsidRPr="00D11718" w:rsidRDefault="00D11718" w:rsidP="00D11718">
      <w:pPr>
        <w:contextualSpacing/>
      </w:pPr>
    </w:p>
    <w:sectPr w:rsidR="00D11718" w:rsidRPr="00D11718" w:rsidSect="00811DFE">
      <w:pgSz w:w="12240" w:h="15840"/>
      <w:pgMar w:top="72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99B"/>
    <w:multiLevelType w:val="multilevel"/>
    <w:tmpl w:val="D1F6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A3B"/>
    <w:multiLevelType w:val="multilevel"/>
    <w:tmpl w:val="DB025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A1256"/>
    <w:multiLevelType w:val="multilevel"/>
    <w:tmpl w:val="3046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8618E"/>
    <w:multiLevelType w:val="multilevel"/>
    <w:tmpl w:val="A26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B19AA"/>
    <w:multiLevelType w:val="multilevel"/>
    <w:tmpl w:val="ACF6D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A709D"/>
    <w:multiLevelType w:val="multilevel"/>
    <w:tmpl w:val="23D4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53051"/>
    <w:multiLevelType w:val="multilevel"/>
    <w:tmpl w:val="B1E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B2077E"/>
    <w:multiLevelType w:val="multilevel"/>
    <w:tmpl w:val="2AC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42AB0"/>
    <w:multiLevelType w:val="multilevel"/>
    <w:tmpl w:val="C2D2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F5C67"/>
    <w:multiLevelType w:val="multilevel"/>
    <w:tmpl w:val="3CEC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0F3E35"/>
    <w:multiLevelType w:val="multilevel"/>
    <w:tmpl w:val="62F6F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7A1B94"/>
    <w:multiLevelType w:val="multilevel"/>
    <w:tmpl w:val="57389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33388"/>
    <w:multiLevelType w:val="multilevel"/>
    <w:tmpl w:val="6742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62BBC"/>
    <w:multiLevelType w:val="multilevel"/>
    <w:tmpl w:val="25EE9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42BBD"/>
    <w:multiLevelType w:val="multilevel"/>
    <w:tmpl w:val="470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BA7C37"/>
    <w:multiLevelType w:val="multilevel"/>
    <w:tmpl w:val="277C2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B860A2"/>
    <w:multiLevelType w:val="multilevel"/>
    <w:tmpl w:val="C22A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832041">
    <w:abstractNumId w:val="6"/>
  </w:num>
  <w:num w:numId="2" w16cid:durableId="622688158">
    <w:abstractNumId w:val="1"/>
  </w:num>
  <w:num w:numId="3" w16cid:durableId="657419797">
    <w:abstractNumId w:val="4"/>
  </w:num>
  <w:num w:numId="4" w16cid:durableId="1817143505">
    <w:abstractNumId w:val="15"/>
  </w:num>
  <w:num w:numId="5" w16cid:durableId="819350598">
    <w:abstractNumId w:val="12"/>
  </w:num>
  <w:num w:numId="6" w16cid:durableId="85853025">
    <w:abstractNumId w:val="10"/>
  </w:num>
  <w:num w:numId="7" w16cid:durableId="262960248">
    <w:abstractNumId w:val="9"/>
  </w:num>
  <w:num w:numId="8" w16cid:durableId="1997224817">
    <w:abstractNumId w:val="0"/>
  </w:num>
  <w:num w:numId="9" w16cid:durableId="1588466299">
    <w:abstractNumId w:val="5"/>
  </w:num>
  <w:num w:numId="10" w16cid:durableId="156847988">
    <w:abstractNumId w:val="7"/>
  </w:num>
  <w:num w:numId="11" w16cid:durableId="1042442817">
    <w:abstractNumId w:val="11"/>
  </w:num>
  <w:num w:numId="12" w16cid:durableId="2034186822">
    <w:abstractNumId w:val="2"/>
  </w:num>
  <w:num w:numId="13" w16cid:durableId="1336612784">
    <w:abstractNumId w:val="8"/>
  </w:num>
  <w:num w:numId="14" w16cid:durableId="1277606">
    <w:abstractNumId w:val="13"/>
  </w:num>
  <w:num w:numId="15" w16cid:durableId="2091271666">
    <w:abstractNumId w:val="14"/>
  </w:num>
  <w:num w:numId="16" w16cid:durableId="1908951090">
    <w:abstractNumId w:val="3"/>
  </w:num>
  <w:num w:numId="17" w16cid:durableId="924149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FE"/>
    <w:rsid w:val="00132A0C"/>
    <w:rsid w:val="0015575A"/>
    <w:rsid w:val="00581EF4"/>
    <w:rsid w:val="005C0984"/>
    <w:rsid w:val="00811DFE"/>
    <w:rsid w:val="00D11718"/>
    <w:rsid w:val="00E3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2CBC"/>
  <w15:chartTrackingRefBased/>
  <w15:docId w15:val="{6A425D8B-CBBA-4016-A714-9769E194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1718"/>
    <w:pPr>
      <w:outlineLvl w:val="1"/>
    </w:pPr>
    <w:rPr>
      <w:b/>
      <w:bCs/>
    </w:rPr>
  </w:style>
  <w:style w:type="paragraph" w:styleId="Heading3">
    <w:name w:val="heading 3"/>
    <w:basedOn w:val="Normal"/>
    <w:next w:val="Normal"/>
    <w:link w:val="Heading3Char"/>
    <w:uiPriority w:val="9"/>
    <w:unhideWhenUsed/>
    <w:qFormat/>
    <w:rsid w:val="00132A0C"/>
    <w:pPr>
      <w:keepNext/>
      <w:keepLines/>
      <w:spacing w:before="160" w:after="80"/>
      <w:outlineLvl w:val="2"/>
    </w:pPr>
    <w:rPr>
      <w:rFonts w:eastAsiaTheme="majorEastAsia" w:cstheme="majorBidi"/>
      <w:b/>
      <w:bCs/>
      <w:color w:val="000000" w:themeColor="text1"/>
      <w:sz w:val="28"/>
      <w:szCs w:val="28"/>
    </w:rPr>
  </w:style>
  <w:style w:type="paragraph" w:styleId="Heading4">
    <w:name w:val="heading 4"/>
    <w:basedOn w:val="Normal"/>
    <w:next w:val="Normal"/>
    <w:link w:val="Heading4Char"/>
    <w:uiPriority w:val="9"/>
    <w:semiHidden/>
    <w:unhideWhenUsed/>
    <w:qFormat/>
    <w:rsid w:val="00811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1718"/>
    <w:rPr>
      <w:b/>
      <w:bCs/>
    </w:rPr>
  </w:style>
  <w:style w:type="character" w:customStyle="1" w:styleId="Heading3Char">
    <w:name w:val="Heading 3 Char"/>
    <w:basedOn w:val="DefaultParagraphFont"/>
    <w:link w:val="Heading3"/>
    <w:uiPriority w:val="9"/>
    <w:rsid w:val="00132A0C"/>
    <w:rPr>
      <w:rFonts w:eastAsiaTheme="majorEastAsia" w:cstheme="majorBidi"/>
      <w:b/>
      <w:bCs/>
      <w:color w:val="000000" w:themeColor="text1"/>
      <w:sz w:val="28"/>
      <w:szCs w:val="28"/>
    </w:rPr>
  </w:style>
  <w:style w:type="character" w:customStyle="1" w:styleId="Heading4Char">
    <w:name w:val="Heading 4 Char"/>
    <w:basedOn w:val="DefaultParagraphFont"/>
    <w:link w:val="Heading4"/>
    <w:uiPriority w:val="9"/>
    <w:semiHidden/>
    <w:rsid w:val="00811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DFE"/>
    <w:rPr>
      <w:rFonts w:eastAsiaTheme="majorEastAsia" w:cstheme="majorBidi"/>
      <w:color w:val="272727" w:themeColor="text1" w:themeTint="D8"/>
    </w:rPr>
  </w:style>
  <w:style w:type="paragraph" w:styleId="Title">
    <w:name w:val="Title"/>
    <w:basedOn w:val="Normal"/>
    <w:next w:val="Normal"/>
    <w:link w:val="TitleChar"/>
    <w:uiPriority w:val="10"/>
    <w:qFormat/>
    <w:rsid w:val="00811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DFE"/>
    <w:pPr>
      <w:spacing w:before="160"/>
      <w:jc w:val="center"/>
    </w:pPr>
    <w:rPr>
      <w:i/>
      <w:iCs/>
      <w:color w:val="404040" w:themeColor="text1" w:themeTint="BF"/>
    </w:rPr>
  </w:style>
  <w:style w:type="character" w:customStyle="1" w:styleId="QuoteChar">
    <w:name w:val="Quote Char"/>
    <w:basedOn w:val="DefaultParagraphFont"/>
    <w:link w:val="Quote"/>
    <w:uiPriority w:val="29"/>
    <w:rsid w:val="00811DFE"/>
    <w:rPr>
      <w:i/>
      <w:iCs/>
      <w:color w:val="404040" w:themeColor="text1" w:themeTint="BF"/>
    </w:rPr>
  </w:style>
  <w:style w:type="paragraph" w:styleId="ListParagraph">
    <w:name w:val="List Paragraph"/>
    <w:basedOn w:val="Normal"/>
    <w:uiPriority w:val="34"/>
    <w:qFormat/>
    <w:rsid w:val="00811DFE"/>
    <w:pPr>
      <w:ind w:left="720"/>
      <w:contextualSpacing/>
    </w:pPr>
  </w:style>
  <w:style w:type="character" w:styleId="IntenseEmphasis">
    <w:name w:val="Intense Emphasis"/>
    <w:basedOn w:val="DefaultParagraphFont"/>
    <w:uiPriority w:val="21"/>
    <w:qFormat/>
    <w:rsid w:val="00811DFE"/>
    <w:rPr>
      <w:i/>
      <w:iCs/>
      <w:color w:val="0F4761" w:themeColor="accent1" w:themeShade="BF"/>
    </w:rPr>
  </w:style>
  <w:style w:type="paragraph" w:styleId="IntenseQuote">
    <w:name w:val="Intense Quote"/>
    <w:basedOn w:val="Normal"/>
    <w:next w:val="Normal"/>
    <w:link w:val="IntenseQuoteChar"/>
    <w:uiPriority w:val="30"/>
    <w:qFormat/>
    <w:rsid w:val="00811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DFE"/>
    <w:rPr>
      <w:i/>
      <w:iCs/>
      <w:color w:val="0F4761" w:themeColor="accent1" w:themeShade="BF"/>
    </w:rPr>
  </w:style>
  <w:style w:type="character" w:styleId="IntenseReference">
    <w:name w:val="Intense Reference"/>
    <w:basedOn w:val="DefaultParagraphFont"/>
    <w:uiPriority w:val="32"/>
    <w:qFormat/>
    <w:rsid w:val="00811DFE"/>
    <w:rPr>
      <w:b/>
      <w:bCs/>
      <w:smallCaps/>
      <w:color w:val="0F4761" w:themeColor="accent1" w:themeShade="BF"/>
      <w:spacing w:val="5"/>
    </w:rPr>
  </w:style>
  <w:style w:type="character" w:styleId="Hyperlink">
    <w:name w:val="Hyperlink"/>
    <w:basedOn w:val="DefaultParagraphFont"/>
    <w:uiPriority w:val="99"/>
    <w:unhideWhenUsed/>
    <w:rsid w:val="00811DFE"/>
    <w:rPr>
      <w:color w:val="467886" w:themeColor="hyperlink"/>
      <w:u w:val="single"/>
    </w:rPr>
  </w:style>
  <w:style w:type="character" w:styleId="UnresolvedMention">
    <w:name w:val="Unresolved Mention"/>
    <w:basedOn w:val="DefaultParagraphFont"/>
    <w:uiPriority w:val="99"/>
    <w:semiHidden/>
    <w:unhideWhenUsed/>
    <w:rsid w:val="00811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3221">
      <w:bodyDiv w:val="1"/>
      <w:marLeft w:val="0"/>
      <w:marRight w:val="0"/>
      <w:marTop w:val="0"/>
      <w:marBottom w:val="0"/>
      <w:divBdr>
        <w:top w:val="none" w:sz="0" w:space="0" w:color="auto"/>
        <w:left w:val="none" w:sz="0" w:space="0" w:color="auto"/>
        <w:bottom w:val="none" w:sz="0" w:space="0" w:color="auto"/>
        <w:right w:val="none" w:sz="0" w:space="0" w:color="auto"/>
      </w:divBdr>
    </w:div>
    <w:div w:id="607661806">
      <w:bodyDiv w:val="1"/>
      <w:marLeft w:val="0"/>
      <w:marRight w:val="0"/>
      <w:marTop w:val="0"/>
      <w:marBottom w:val="0"/>
      <w:divBdr>
        <w:top w:val="none" w:sz="0" w:space="0" w:color="auto"/>
        <w:left w:val="none" w:sz="0" w:space="0" w:color="auto"/>
        <w:bottom w:val="none" w:sz="0" w:space="0" w:color="auto"/>
        <w:right w:val="none" w:sz="0" w:space="0" w:color="auto"/>
      </w:divBdr>
    </w:div>
    <w:div w:id="765342200">
      <w:bodyDiv w:val="1"/>
      <w:marLeft w:val="0"/>
      <w:marRight w:val="0"/>
      <w:marTop w:val="0"/>
      <w:marBottom w:val="0"/>
      <w:divBdr>
        <w:top w:val="none" w:sz="0" w:space="0" w:color="auto"/>
        <w:left w:val="none" w:sz="0" w:space="0" w:color="auto"/>
        <w:bottom w:val="none" w:sz="0" w:space="0" w:color="auto"/>
        <w:right w:val="none" w:sz="0" w:space="0" w:color="auto"/>
      </w:divBdr>
    </w:div>
    <w:div w:id="810635070">
      <w:bodyDiv w:val="1"/>
      <w:marLeft w:val="0"/>
      <w:marRight w:val="0"/>
      <w:marTop w:val="0"/>
      <w:marBottom w:val="0"/>
      <w:divBdr>
        <w:top w:val="none" w:sz="0" w:space="0" w:color="auto"/>
        <w:left w:val="none" w:sz="0" w:space="0" w:color="auto"/>
        <w:bottom w:val="none" w:sz="0" w:space="0" w:color="auto"/>
        <w:right w:val="none" w:sz="0" w:space="0" w:color="auto"/>
      </w:divBdr>
    </w:div>
    <w:div w:id="2026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3.org/WAI/WCAG22/quickref/?versions=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Frees</dc:creator>
  <cp:keywords/>
  <dc:description/>
  <cp:lastModifiedBy>Traci Frees</cp:lastModifiedBy>
  <cp:revision>4</cp:revision>
  <cp:lastPrinted>2025-06-13T20:14:00Z</cp:lastPrinted>
  <dcterms:created xsi:type="dcterms:W3CDTF">2025-06-13T18:27:00Z</dcterms:created>
  <dcterms:modified xsi:type="dcterms:W3CDTF">2025-06-15T17:47:00Z</dcterms:modified>
</cp:coreProperties>
</file>